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9C72B" w14:textId="77777777" w:rsidR="00B136B6" w:rsidRDefault="00B136B6" w:rsidP="00B136B6">
      <w:pPr>
        <w:jc w:val="both"/>
        <w:rPr>
          <w:rFonts w:ascii="Times New Roman" w:hAnsi="Times New Roman" w:cs="Times New Roman"/>
          <w:sz w:val="24"/>
          <w:szCs w:val="24"/>
        </w:rPr>
      </w:pPr>
    </w:p>
    <w:p w14:paraId="36EC3DC4" w14:textId="7657CDBE" w:rsidR="00B136B6" w:rsidRDefault="00B136B6" w:rsidP="00B136B6">
      <w:pPr>
        <w:jc w:val="both"/>
        <w:rPr>
          <w:rFonts w:ascii="Times New Roman" w:hAnsi="Times New Roman" w:cs="Times New Roman"/>
          <w:sz w:val="24"/>
          <w:szCs w:val="24"/>
        </w:rPr>
      </w:pPr>
      <w:r>
        <w:rPr>
          <w:rFonts w:ascii="Times New Roman" w:hAnsi="Times New Roman" w:cs="Times New Roman"/>
          <w:sz w:val="24"/>
          <w:szCs w:val="24"/>
        </w:rPr>
        <w:t xml:space="preserve"> </w:t>
      </w:r>
    </w:p>
    <w:p w14:paraId="217CE5A4" w14:textId="4F82828B" w:rsidR="00B136B6" w:rsidRDefault="00B136B6" w:rsidP="00B136B6">
      <w:pPr>
        <w:jc w:val="both"/>
        <w:rPr>
          <w:rFonts w:ascii="Times New Roman" w:hAnsi="Times New Roman" w:cs="Times New Roman"/>
          <w:sz w:val="24"/>
          <w:szCs w:val="24"/>
        </w:rPr>
      </w:pPr>
    </w:p>
    <w:p w14:paraId="5CD6F0A7" w14:textId="3CDB0E8F" w:rsidR="00B136B6" w:rsidRDefault="00B136B6" w:rsidP="00B136B6">
      <w:pPr>
        <w:jc w:val="both"/>
        <w:rPr>
          <w:rFonts w:ascii="Times New Roman" w:hAnsi="Times New Roman" w:cs="Times New Roman"/>
          <w:sz w:val="24"/>
          <w:szCs w:val="24"/>
        </w:rPr>
      </w:pPr>
    </w:p>
    <w:p w14:paraId="62C181F7" w14:textId="77777777" w:rsidR="00974CCE" w:rsidRPr="00974CCE" w:rsidRDefault="00974CCE" w:rsidP="00974CCE">
      <w:pPr>
        <w:pStyle w:val="NormalWeb"/>
        <w:spacing w:before="0" w:beforeAutospacing="0" w:after="0" w:afterAutospacing="0" w:line="480" w:lineRule="auto"/>
        <w:jc w:val="center"/>
        <w:rPr>
          <w:b/>
          <w:bCs/>
          <w:color w:val="0E101A"/>
        </w:rPr>
      </w:pPr>
      <w:r w:rsidRPr="00974CCE">
        <w:rPr>
          <w:b/>
          <w:bCs/>
          <w:color w:val="0E101A"/>
        </w:rPr>
        <w:t>Effects of television on Adolescent's behaviors and education</w:t>
      </w:r>
    </w:p>
    <w:p w14:paraId="3DFDDAE9" w14:textId="4EC3E3AD" w:rsidR="00B136B6" w:rsidRDefault="00B136B6" w:rsidP="00B136B6">
      <w:pPr>
        <w:jc w:val="center"/>
        <w:rPr>
          <w:rFonts w:ascii="Times New Roman" w:hAnsi="Times New Roman" w:cs="Times New Roman"/>
          <w:sz w:val="24"/>
          <w:szCs w:val="24"/>
        </w:rPr>
      </w:pPr>
    </w:p>
    <w:p w14:paraId="4C02452E" w14:textId="0E24CDAE" w:rsidR="00B136B6" w:rsidRDefault="00B136B6" w:rsidP="00B136B6">
      <w:pPr>
        <w:jc w:val="center"/>
        <w:rPr>
          <w:rFonts w:ascii="Times New Roman" w:hAnsi="Times New Roman" w:cs="Times New Roman"/>
          <w:sz w:val="24"/>
          <w:szCs w:val="24"/>
        </w:rPr>
      </w:pPr>
    </w:p>
    <w:p w14:paraId="34F34921" w14:textId="362C8390" w:rsidR="00B136B6" w:rsidRDefault="00B136B6" w:rsidP="00B136B6">
      <w:pPr>
        <w:jc w:val="center"/>
        <w:rPr>
          <w:rFonts w:ascii="Times New Roman" w:hAnsi="Times New Roman" w:cs="Times New Roman"/>
          <w:sz w:val="24"/>
          <w:szCs w:val="24"/>
        </w:rPr>
      </w:pPr>
      <w:r>
        <w:rPr>
          <w:rFonts w:ascii="Times New Roman" w:hAnsi="Times New Roman" w:cs="Times New Roman"/>
          <w:sz w:val="24"/>
          <w:szCs w:val="24"/>
        </w:rPr>
        <w:t>Name</w:t>
      </w:r>
    </w:p>
    <w:p w14:paraId="64BFFE7B" w14:textId="1CA0D4A7" w:rsidR="00B136B6" w:rsidRDefault="00B136B6" w:rsidP="00B136B6">
      <w:pPr>
        <w:jc w:val="center"/>
        <w:rPr>
          <w:rFonts w:ascii="Times New Roman" w:hAnsi="Times New Roman" w:cs="Times New Roman"/>
          <w:sz w:val="24"/>
          <w:szCs w:val="24"/>
        </w:rPr>
      </w:pPr>
      <w:r>
        <w:rPr>
          <w:rFonts w:ascii="Times New Roman" w:hAnsi="Times New Roman" w:cs="Times New Roman"/>
          <w:sz w:val="24"/>
          <w:szCs w:val="24"/>
        </w:rPr>
        <w:t>Course</w:t>
      </w:r>
    </w:p>
    <w:p w14:paraId="610ADD50" w14:textId="44F580EF" w:rsidR="00B136B6" w:rsidRDefault="00B136B6" w:rsidP="00B136B6">
      <w:pPr>
        <w:jc w:val="center"/>
        <w:rPr>
          <w:rFonts w:ascii="Times New Roman" w:hAnsi="Times New Roman" w:cs="Times New Roman"/>
          <w:sz w:val="24"/>
          <w:szCs w:val="24"/>
        </w:rPr>
      </w:pPr>
      <w:r>
        <w:rPr>
          <w:rFonts w:ascii="Times New Roman" w:hAnsi="Times New Roman" w:cs="Times New Roman"/>
          <w:sz w:val="24"/>
          <w:szCs w:val="24"/>
        </w:rPr>
        <w:t>School</w:t>
      </w:r>
    </w:p>
    <w:p w14:paraId="19601F34" w14:textId="61335A8A" w:rsidR="00B136B6" w:rsidRDefault="00B136B6" w:rsidP="00B136B6">
      <w:pPr>
        <w:jc w:val="center"/>
        <w:rPr>
          <w:rFonts w:ascii="Times New Roman" w:hAnsi="Times New Roman" w:cs="Times New Roman"/>
          <w:sz w:val="24"/>
          <w:szCs w:val="24"/>
        </w:rPr>
      </w:pPr>
      <w:r>
        <w:rPr>
          <w:rFonts w:ascii="Times New Roman" w:hAnsi="Times New Roman" w:cs="Times New Roman"/>
          <w:sz w:val="24"/>
          <w:szCs w:val="24"/>
        </w:rPr>
        <w:t xml:space="preserve">Professor </w:t>
      </w:r>
    </w:p>
    <w:p w14:paraId="2281CC89" w14:textId="77777777" w:rsidR="00B136B6" w:rsidRDefault="00B136B6" w:rsidP="00B136B6">
      <w:pPr>
        <w:jc w:val="center"/>
        <w:rPr>
          <w:rFonts w:ascii="Times New Roman" w:hAnsi="Times New Roman" w:cs="Times New Roman"/>
          <w:sz w:val="24"/>
          <w:szCs w:val="24"/>
        </w:rPr>
      </w:pPr>
    </w:p>
    <w:p w14:paraId="459A5420" w14:textId="77777777" w:rsidR="00B136B6" w:rsidRDefault="00B136B6" w:rsidP="00B136B6">
      <w:pPr>
        <w:jc w:val="both"/>
        <w:rPr>
          <w:rFonts w:ascii="Times New Roman" w:hAnsi="Times New Roman" w:cs="Times New Roman"/>
          <w:sz w:val="24"/>
          <w:szCs w:val="24"/>
        </w:rPr>
      </w:pPr>
    </w:p>
    <w:p w14:paraId="5052761E" w14:textId="77777777" w:rsidR="00B136B6" w:rsidRDefault="00B136B6" w:rsidP="00B136B6">
      <w:pPr>
        <w:jc w:val="both"/>
        <w:rPr>
          <w:rFonts w:ascii="Times New Roman" w:hAnsi="Times New Roman" w:cs="Times New Roman"/>
          <w:sz w:val="24"/>
          <w:szCs w:val="24"/>
        </w:rPr>
      </w:pPr>
    </w:p>
    <w:p w14:paraId="021D42E9" w14:textId="77777777" w:rsidR="00B136B6" w:rsidRDefault="00B136B6" w:rsidP="00B136B6">
      <w:pPr>
        <w:jc w:val="both"/>
        <w:rPr>
          <w:rFonts w:ascii="Times New Roman" w:hAnsi="Times New Roman" w:cs="Times New Roman"/>
          <w:sz w:val="24"/>
          <w:szCs w:val="24"/>
        </w:rPr>
      </w:pPr>
    </w:p>
    <w:p w14:paraId="0CDB1692" w14:textId="77777777" w:rsidR="00B136B6" w:rsidRDefault="00B136B6" w:rsidP="00B136B6">
      <w:pPr>
        <w:jc w:val="both"/>
        <w:rPr>
          <w:rFonts w:ascii="Times New Roman" w:hAnsi="Times New Roman" w:cs="Times New Roman"/>
          <w:sz w:val="24"/>
          <w:szCs w:val="24"/>
        </w:rPr>
      </w:pPr>
    </w:p>
    <w:p w14:paraId="597D688A" w14:textId="77777777" w:rsidR="00B136B6" w:rsidRDefault="00B136B6" w:rsidP="00B136B6">
      <w:pPr>
        <w:jc w:val="both"/>
        <w:rPr>
          <w:rFonts w:ascii="Times New Roman" w:hAnsi="Times New Roman" w:cs="Times New Roman"/>
          <w:sz w:val="24"/>
          <w:szCs w:val="24"/>
        </w:rPr>
      </w:pPr>
    </w:p>
    <w:p w14:paraId="62105079" w14:textId="77777777" w:rsidR="00B136B6" w:rsidRDefault="00B136B6" w:rsidP="00B136B6">
      <w:pPr>
        <w:jc w:val="both"/>
        <w:rPr>
          <w:rFonts w:ascii="Times New Roman" w:hAnsi="Times New Roman" w:cs="Times New Roman"/>
          <w:sz w:val="24"/>
          <w:szCs w:val="24"/>
        </w:rPr>
      </w:pPr>
    </w:p>
    <w:p w14:paraId="493F9AC3" w14:textId="77777777" w:rsidR="00B136B6" w:rsidRDefault="00B136B6" w:rsidP="00B136B6">
      <w:pPr>
        <w:jc w:val="both"/>
        <w:rPr>
          <w:rFonts w:ascii="Times New Roman" w:hAnsi="Times New Roman" w:cs="Times New Roman"/>
          <w:sz w:val="24"/>
          <w:szCs w:val="24"/>
        </w:rPr>
      </w:pPr>
    </w:p>
    <w:p w14:paraId="17A04329" w14:textId="77777777" w:rsidR="00B136B6" w:rsidRDefault="00B136B6" w:rsidP="00B136B6">
      <w:pPr>
        <w:jc w:val="both"/>
        <w:rPr>
          <w:rFonts w:ascii="Times New Roman" w:hAnsi="Times New Roman" w:cs="Times New Roman"/>
          <w:sz w:val="24"/>
          <w:szCs w:val="24"/>
        </w:rPr>
      </w:pPr>
    </w:p>
    <w:p w14:paraId="17F8E511" w14:textId="77777777" w:rsidR="00B136B6" w:rsidRDefault="00B136B6" w:rsidP="00B136B6">
      <w:pPr>
        <w:jc w:val="both"/>
        <w:rPr>
          <w:rFonts w:ascii="Times New Roman" w:hAnsi="Times New Roman" w:cs="Times New Roman"/>
          <w:sz w:val="24"/>
          <w:szCs w:val="24"/>
        </w:rPr>
      </w:pPr>
    </w:p>
    <w:p w14:paraId="6F5CAC0D" w14:textId="0A2558EC" w:rsidR="00B136B6" w:rsidRDefault="00B136B6" w:rsidP="00B136B6">
      <w:pPr>
        <w:jc w:val="both"/>
        <w:rPr>
          <w:rFonts w:ascii="Times New Roman" w:hAnsi="Times New Roman" w:cs="Times New Roman"/>
          <w:sz w:val="24"/>
          <w:szCs w:val="24"/>
        </w:rPr>
      </w:pPr>
    </w:p>
    <w:p w14:paraId="55D101B7" w14:textId="77777777" w:rsidR="00B136B6" w:rsidRDefault="00B136B6" w:rsidP="00B136B6">
      <w:pPr>
        <w:jc w:val="both"/>
        <w:rPr>
          <w:rFonts w:ascii="Times New Roman" w:hAnsi="Times New Roman" w:cs="Times New Roman"/>
          <w:sz w:val="24"/>
          <w:szCs w:val="24"/>
        </w:rPr>
      </w:pPr>
    </w:p>
    <w:p w14:paraId="543B436F" w14:textId="77777777" w:rsidR="00B136B6" w:rsidRDefault="00B136B6" w:rsidP="00B136B6">
      <w:pPr>
        <w:jc w:val="both"/>
        <w:rPr>
          <w:rFonts w:ascii="Times New Roman" w:hAnsi="Times New Roman" w:cs="Times New Roman"/>
          <w:sz w:val="24"/>
          <w:szCs w:val="24"/>
        </w:rPr>
      </w:pPr>
    </w:p>
    <w:p w14:paraId="38E73920" w14:textId="77777777" w:rsidR="00B136B6" w:rsidRDefault="00B136B6" w:rsidP="00B136B6">
      <w:pPr>
        <w:jc w:val="both"/>
        <w:rPr>
          <w:rFonts w:ascii="Times New Roman" w:hAnsi="Times New Roman" w:cs="Times New Roman"/>
          <w:sz w:val="24"/>
          <w:szCs w:val="24"/>
        </w:rPr>
      </w:pPr>
    </w:p>
    <w:p w14:paraId="7561E9FF" w14:textId="77777777" w:rsidR="00B136B6" w:rsidRDefault="00B136B6" w:rsidP="00B136B6">
      <w:pPr>
        <w:jc w:val="both"/>
        <w:rPr>
          <w:rFonts w:ascii="Times New Roman" w:hAnsi="Times New Roman" w:cs="Times New Roman"/>
          <w:sz w:val="24"/>
          <w:szCs w:val="24"/>
        </w:rPr>
      </w:pPr>
    </w:p>
    <w:p w14:paraId="60EA1644" w14:textId="77777777" w:rsidR="00B136B6" w:rsidRDefault="00B136B6" w:rsidP="00B136B6">
      <w:pPr>
        <w:jc w:val="both"/>
        <w:rPr>
          <w:rFonts w:ascii="Times New Roman" w:hAnsi="Times New Roman" w:cs="Times New Roman"/>
          <w:sz w:val="24"/>
          <w:szCs w:val="24"/>
        </w:rPr>
      </w:pPr>
    </w:p>
    <w:p w14:paraId="69093FB2" w14:textId="2111508F" w:rsidR="00B75F90" w:rsidRDefault="00B75F90" w:rsidP="00527852">
      <w:pPr>
        <w:spacing w:line="480" w:lineRule="auto"/>
        <w:jc w:val="both"/>
        <w:rPr>
          <w:rFonts w:ascii="Times New Roman" w:hAnsi="Times New Roman" w:cs="Times New Roman"/>
          <w:sz w:val="24"/>
          <w:szCs w:val="24"/>
        </w:rPr>
      </w:pPr>
    </w:p>
    <w:p w14:paraId="63A06405" w14:textId="21F497DA" w:rsidR="00974CCE" w:rsidRDefault="00974CCE" w:rsidP="00527852">
      <w:pPr>
        <w:spacing w:line="480" w:lineRule="auto"/>
        <w:jc w:val="both"/>
        <w:rPr>
          <w:rFonts w:ascii="Times New Roman" w:hAnsi="Times New Roman" w:cs="Times New Roman"/>
          <w:sz w:val="24"/>
          <w:szCs w:val="24"/>
        </w:rPr>
      </w:pPr>
    </w:p>
    <w:p w14:paraId="1F1DAA80" w14:textId="7C713E9A" w:rsidR="00974CCE" w:rsidRPr="001F2AB6" w:rsidRDefault="00974CCE" w:rsidP="00974CCE">
      <w:pPr>
        <w:pStyle w:val="NormalWeb"/>
        <w:spacing w:before="0" w:beforeAutospacing="0" w:after="0" w:afterAutospacing="0" w:line="480" w:lineRule="auto"/>
        <w:jc w:val="center"/>
        <w:rPr>
          <w:color w:val="0E101A"/>
        </w:rPr>
      </w:pPr>
      <w:r w:rsidRPr="001F2AB6">
        <w:rPr>
          <w:color w:val="0E101A"/>
        </w:rPr>
        <w:t xml:space="preserve">Effects of television on Adolescent's behaviors and </w:t>
      </w:r>
      <w:r>
        <w:rPr>
          <w:color w:val="0E101A"/>
        </w:rPr>
        <w:t>education</w:t>
      </w:r>
    </w:p>
    <w:p w14:paraId="5022AB9E" w14:textId="50330764" w:rsidR="00974CCE" w:rsidRPr="001F2AB6" w:rsidRDefault="00974CCE" w:rsidP="00974CCE">
      <w:pPr>
        <w:pStyle w:val="NormalWeb"/>
        <w:spacing w:before="0" w:beforeAutospacing="0" w:after="0" w:afterAutospacing="0" w:line="480" w:lineRule="auto"/>
        <w:jc w:val="both"/>
        <w:rPr>
          <w:color w:val="0E101A"/>
        </w:rPr>
      </w:pPr>
      <w:r>
        <w:rPr>
          <w:color w:val="0E101A"/>
        </w:rPr>
        <w:t xml:space="preserve">           </w:t>
      </w:r>
      <w:r w:rsidRPr="001F2AB6">
        <w:rPr>
          <w:color w:val="0E101A"/>
        </w:rPr>
        <w:t>Most of the extreme television watching behaviors presented by an adolescent can result from their antisocial behaviors developed during the early childhood stage. Some parents have tried regulating their children by ensuring that they watch television for a maximum of only one to two times with shorter time limits to avoid this excessive watching. Other adolescents have gained both positive and negative benefits from watching television in their educational lives. Many children who watch educational television before joining school have a sharp mind and ability to score higher in their exams, with low aggression defects, and focus on academics compared to those exposed to all kinds of television watching.</w:t>
      </w:r>
    </w:p>
    <w:p w14:paraId="5D1EB24D" w14:textId="0A4BE22B" w:rsidR="00974CCE" w:rsidRPr="001F2AB6" w:rsidRDefault="00974CCE" w:rsidP="00974CCE">
      <w:pPr>
        <w:pStyle w:val="NormalWeb"/>
        <w:spacing w:before="0" w:beforeAutospacing="0" w:after="0" w:afterAutospacing="0" w:line="480" w:lineRule="auto"/>
        <w:jc w:val="both"/>
        <w:rPr>
          <w:color w:val="0E101A"/>
        </w:rPr>
      </w:pPr>
      <w:r>
        <w:rPr>
          <w:color w:val="0E101A"/>
        </w:rPr>
        <w:t xml:space="preserve">         </w:t>
      </w:r>
      <w:r w:rsidRPr="001F2AB6">
        <w:rPr>
          <w:color w:val="0E101A"/>
        </w:rPr>
        <w:t>Adolescents' behaviors can be affected in different ways as a result of extreme watching of television. From the "Television and Adolescent" passage, "</w:t>
      </w:r>
      <w:r w:rsidRPr="001F2AB6">
        <w:rPr>
          <w:rStyle w:val="Emphasis"/>
          <w:color w:val="0E101A"/>
        </w:rPr>
        <w:t>For instance, kids who watch a lot of television may experience a more unfulfilling social life because they tend to isolate themselves to pay attention to what they are watching. Kids who watch a lot of television also miss out on time that could be spent exercising or playing sports, which are important activities for maintaining a healthy weight, overall health, and high self-esteem".</w:t>
      </w:r>
      <w:r w:rsidRPr="001F2AB6">
        <w:rPr>
          <w:color w:val="0E101A"/>
        </w:rPr>
        <w:t> This clearly shows that adolescents are highly affected when it comes to excessive watching of televisions. It is hard for them to balance making friends, to go for some exercises, and even engaging in sports activities that are said to have a significant impact on both the social life and health of a person. Such children will always prefer to stay indoors or isolate themselves; hence, they might become antisocial and with low self-esteem, resulting in problems forming any meaningful relationships</w:t>
      </w:r>
      <w:r>
        <w:rPr>
          <w:color w:val="0E101A"/>
        </w:rPr>
        <w:t xml:space="preserve"> (Adolescents, 2011)</w:t>
      </w:r>
      <w:r w:rsidRPr="001F2AB6">
        <w:rPr>
          <w:color w:val="0E101A"/>
        </w:rPr>
        <w:t>.</w:t>
      </w:r>
    </w:p>
    <w:p w14:paraId="7DAB0F02" w14:textId="639F6834" w:rsidR="00974CCE" w:rsidRPr="001F2AB6" w:rsidRDefault="00974CCE" w:rsidP="00974CCE">
      <w:pPr>
        <w:pStyle w:val="NormalWeb"/>
        <w:spacing w:before="0" w:beforeAutospacing="0" w:after="0" w:afterAutospacing="0" w:line="480" w:lineRule="auto"/>
        <w:jc w:val="both"/>
        <w:rPr>
          <w:color w:val="0E101A"/>
        </w:rPr>
      </w:pPr>
      <w:r>
        <w:rPr>
          <w:color w:val="0E101A"/>
        </w:rPr>
        <w:t xml:space="preserve">          </w:t>
      </w:r>
      <w:r w:rsidRPr="001F2AB6">
        <w:rPr>
          <w:color w:val="0E101A"/>
        </w:rPr>
        <w:t xml:space="preserve">On the other hand, television has impacted more on the education of adolescents who watch television but not all. As stated before, those children exposed to education television programs </w:t>
      </w:r>
      <w:r w:rsidRPr="001F2AB6">
        <w:rPr>
          <w:color w:val="0E101A"/>
        </w:rPr>
        <w:lastRenderedPageBreak/>
        <w:t>are most likely to attain higher grades in school than those who spend most of their time watching any television programs they want. For example, from the "</w:t>
      </w:r>
      <w:r w:rsidRPr="001F2AB6">
        <w:rPr>
          <w:rStyle w:val="Emphasis"/>
          <w:color w:val="0E101A"/>
        </w:rPr>
        <w:t>Television and Adolescent" passage, television offers many educative programs to adolescents. "Television often takes the place of activities that are important for kids to be involved in, such as sports, reading, homework, studying, and time with friends and family. When people watch TV, they essentially disconnect from others and remain stationary, thereby not having much social engagement or physical activity</w:t>
      </w:r>
      <w:r w:rsidRPr="001F2AB6">
        <w:rPr>
          <w:color w:val="0E101A"/>
        </w:rPr>
        <w:t>".</w:t>
      </w:r>
    </w:p>
    <w:p w14:paraId="266BB42B" w14:textId="73229744" w:rsidR="00974CCE" w:rsidRPr="001F2AB6" w:rsidRDefault="00974CCE" w:rsidP="00974CCE">
      <w:pPr>
        <w:pStyle w:val="NormalWeb"/>
        <w:spacing w:before="0" w:beforeAutospacing="0" w:after="0" w:afterAutospacing="0" w:line="480" w:lineRule="auto"/>
        <w:jc w:val="both"/>
        <w:rPr>
          <w:color w:val="0E101A"/>
        </w:rPr>
      </w:pPr>
      <w:r w:rsidRPr="001F2AB6">
        <w:rPr>
          <w:color w:val="0E101A"/>
        </w:rPr>
        <w:t> </w:t>
      </w:r>
      <w:r>
        <w:rPr>
          <w:color w:val="0E101A"/>
        </w:rPr>
        <w:t xml:space="preserve">          </w:t>
      </w:r>
      <w:r w:rsidRPr="001F2AB6">
        <w:rPr>
          <w:color w:val="0E101A"/>
        </w:rPr>
        <w:t>Televisions have a lot of entertaining programs to follow. So, children can concentrate on such activities and forget that they have their studies to engage in and do some homework assigned to them, which can negatively affect their academics. On the other hand, those television programs that show learning features such as space nature, historical events and entertaining movies that shape children's thinking can play a role in improving the brightness of an adolescent</w:t>
      </w:r>
      <w:r>
        <w:rPr>
          <w:color w:val="0E101A"/>
        </w:rPr>
        <w:t xml:space="preserve"> (Adolescents, 2011)</w:t>
      </w:r>
      <w:r w:rsidRPr="001F2AB6">
        <w:rPr>
          <w:color w:val="0E101A"/>
        </w:rPr>
        <w:t>.</w:t>
      </w:r>
    </w:p>
    <w:p w14:paraId="0CEB9397" w14:textId="7AD60D08" w:rsidR="00974CCE" w:rsidRDefault="00974CCE" w:rsidP="00974CCE">
      <w:pPr>
        <w:pStyle w:val="NormalWeb"/>
        <w:spacing w:before="0" w:beforeAutospacing="0" w:after="0" w:afterAutospacing="0" w:line="480" w:lineRule="auto"/>
        <w:jc w:val="both"/>
        <w:rPr>
          <w:color w:val="0E101A"/>
        </w:rPr>
      </w:pPr>
      <w:r>
        <w:rPr>
          <w:color w:val="0E101A"/>
        </w:rPr>
        <w:t xml:space="preserve">          </w:t>
      </w:r>
      <w:r w:rsidRPr="001F2AB6">
        <w:rPr>
          <w:color w:val="0E101A"/>
        </w:rPr>
        <w:t>All the above factors put together can either affect Adolescents or shape them. Children should not be restricted from watching television. Parents and guardians should control what these adolescents watch by identifying some educational television programs and encouraging them to watch. Make sure that a child does not spend the whole day watching television. Let them have specific times for watching. Other time can be spent on other activities like doing school homework, making friends through engaging in sports, and exercising to improve their health.</w:t>
      </w:r>
    </w:p>
    <w:p w14:paraId="49211CFF" w14:textId="77777777" w:rsidR="00974CCE" w:rsidRDefault="00974CCE" w:rsidP="00974CCE">
      <w:pPr>
        <w:pStyle w:val="NormalWeb"/>
        <w:spacing w:before="0" w:beforeAutospacing="0" w:after="0" w:afterAutospacing="0" w:line="480" w:lineRule="auto"/>
        <w:jc w:val="both"/>
        <w:rPr>
          <w:color w:val="0E101A"/>
        </w:rPr>
      </w:pPr>
    </w:p>
    <w:p w14:paraId="53B96ED8" w14:textId="77777777" w:rsidR="00974CCE" w:rsidRDefault="00974CCE" w:rsidP="00974CCE">
      <w:pPr>
        <w:pStyle w:val="NormalWeb"/>
        <w:spacing w:before="0" w:beforeAutospacing="0" w:after="0" w:afterAutospacing="0" w:line="480" w:lineRule="auto"/>
        <w:jc w:val="both"/>
        <w:rPr>
          <w:color w:val="0E101A"/>
        </w:rPr>
      </w:pPr>
    </w:p>
    <w:p w14:paraId="6441CE47" w14:textId="77777777" w:rsidR="00974CCE" w:rsidRDefault="00974CCE" w:rsidP="00974CCE">
      <w:pPr>
        <w:pStyle w:val="NormalWeb"/>
        <w:spacing w:before="0" w:beforeAutospacing="0" w:after="0" w:afterAutospacing="0" w:line="480" w:lineRule="auto"/>
        <w:jc w:val="both"/>
        <w:rPr>
          <w:color w:val="0E101A"/>
        </w:rPr>
      </w:pPr>
    </w:p>
    <w:p w14:paraId="6F245233" w14:textId="77777777" w:rsidR="00974CCE" w:rsidRDefault="00974CCE" w:rsidP="00974CCE">
      <w:pPr>
        <w:pStyle w:val="NormalWeb"/>
        <w:spacing w:before="0" w:beforeAutospacing="0" w:after="0" w:afterAutospacing="0" w:line="480" w:lineRule="auto"/>
        <w:jc w:val="both"/>
        <w:rPr>
          <w:color w:val="0E101A"/>
        </w:rPr>
      </w:pPr>
    </w:p>
    <w:p w14:paraId="439EB2A6" w14:textId="77777777" w:rsidR="00974CCE" w:rsidRDefault="00974CCE" w:rsidP="00974CCE">
      <w:pPr>
        <w:pStyle w:val="NormalWeb"/>
        <w:spacing w:before="0" w:beforeAutospacing="0" w:after="0" w:afterAutospacing="0" w:line="480" w:lineRule="auto"/>
        <w:jc w:val="both"/>
        <w:rPr>
          <w:color w:val="0E101A"/>
        </w:rPr>
      </w:pPr>
    </w:p>
    <w:p w14:paraId="4489C3A6" w14:textId="5F726BCE" w:rsidR="00974CCE" w:rsidRDefault="00974CCE" w:rsidP="00974CCE">
      <w:pPr>
        <w:pStyle w:val="NormalWeb"/>
        <w:spacing w:before="0" w:beforeAutospacing="0" w:after="0" w:afterAutospacing="0" w:line="480" w:lineRule="auto"/>
        <w:jc w:val="center"/>
        <w:rPr>
          <w:color w:val="0E101A"/>
        </w:rPr>
      </w:pPr>
      <w:r>
        <w:rPr>
          <w:color w:val="0E101A"/>
        </w:rPr>
        <w:t>References</w:t>
      </w:r>
    </w:p>
    <w:p w14:paraId="74238F31" w14:textId="77777777" w:rsidR="00974CCE" w:rsidRPr="001F2AB6" w:rsidRDefault="00974CCE" w:rsidP="00974CCE">
      <w:pPr>
        <w:pStyle w:val="NormalWeb"/>
        <w:spacing w:before="0" w:beforeAutospacing="0" w:after="0" w:afterAutospacing="0" w:line="480" w:lineRule="auto"/>
        <w:ind w:left="720" w:hanging="720"/>
        <w:jc w:val="both"/>
        <w:rPr>
          <w:color w:val="0E101A"/>
        </w:rPr>
      </w:pPr>
      <w:r w:rsidRPr="002A7B64">
        <w:t xml:space="preserve">Adolescent Psychiatry. “Children and Watching TV.” Facts for Families 54 (December 2011). http://www.aacap.org/AACAP/Families_and_Youth/Facts_for_Families/Facts_for_Families_Pages/Children_And_Wat_54.aspx. American Academy of Pediatrics. “Children, Adolescents, and Television.” Pediatrics 107, no. 2 (February 2001). </w:t>
      </w:r>
      <w:hyperlink r:id="rId7" w:history="1">
        <w:r w:rsidRPr="00F327B9">
          <w:rPr>
            <w:rStyle w:val="Hyperlink"/>
          </w:rPr>
          <w:t>http://pediatrics.aappublications.org/content/107/2/423.full</w:t>
        </w:r>
      </w:hyperlink>
    </w:p>
    <w:p w14:paraId="13394D7B" w14:textId="77777777" w:rsidR="00974CCE" w:rsidRPr="001F2AB6" w:rsidRDefault="00974CCE" w:rsidP="00974CCE">
      <w:pPr>
        <w:spacing w:line="480" w:lineRule="auto"/>
        <w:ind w:left="720" w:hanging="720"/>
        <w:jc w:val="both"/>
        <w:rPr>
          <w:rFonts w:ascii="Times New Roman" w:hAnsi="Times New Roman" w:cs="Times New Roman"/>
          <w:sz w:val="24"/>
          <w:szCs w:val="24"/>
        </w:rPr>
      </w:pPr>
    </w:p>
    <w:p w14:paraId="3F724DC1" w14:textId="77777777" w:rsidR="00974CCE" w:rsidRPr="00527852" w:rsidRDefault="00974CCE" w:rsidP="00527852">
      <w:pPr>
        <w:spacing w:line="480" w:lineRule="auto"/>
        <w:jc w:val="both"/>
        <w:rPr>
          <w:rFonts w:ascii="Times New Roman" w:hAnsi="Times New Roman" w:cs="Times New Roman"/>
          <w:sz w:val="24"/>
          <w:szCs w:val="24"/>
        </w:rPr>
      </w:pPr>
    </w:p>
    <w:sectPr w:rsidR="00974CCE" w:rsidRPr="0052785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44DBE" w14:textId="77777777" w:rsidR="00B136B6" w:rsidRDefault="00B136B6" w:rsidP="00B136B6">
      <w:pPr>
        <w:spacing w:after="0" w:line="240" w:lineRule="auto"/>
      </w:pPr>
      <w:r>
        <w:separator/>
      </w:r>
    </w:p>
  </w:endnote>
  <w:endnote w:type="continuationSeparator" w:id="0">
    <w:p w14:paraId="78EDF400" w14:textId="77777777" w:rsidR="00B136B6" w:rsidRDefault="00B136B6" w:rsidP="00B1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6DC061" w14:textId="77777777" w:rsidR="00B136B6" w:rsidRDefault="00B136B6" w:rsidP="00B136B6">
      <w:pPr>
        <w:spacing w:after="0" w:line="240" w:lineRule="auto"/>
      </w:pPr>
      <w:r>
        <w:separator/>
      </w:r>
    </w:p>
  </w:footnote>
  <w:footnote w:type="continuationSeparator" w:id="0">
    <w:p w14:paraId="6025AB6F" w14:textId="77777777" w:rsidR="00B136B6" w:rsidRDefault="00B136B6" w:rsidP="00B1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727369"/>
      <w:docPartObj>
        <w:docPartGallery w:val="Page Numbers (Top of Page)"/>
        <w:docPartUnique/>
      </w:docPartObj>
    </w:sdtPr>
    <w:sdtEndPr>
      <w:rPr>
        <w:noProof/>
      </w:rPr>
    </w:sdtEndPr>
    <w:sdtContent>
      <w:p w14:paraId="0F3C4585" w14:textId="3D1AF3D5" w:rsidR="00B136B6" w:rsidRDefault="00B136B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747436E" w14:textId="77777777" w:rsidR="00B136B6" w:rsidRDefault="00B13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6F4561"/>
    <w:multiLevelType w:val="hybridMultilevel"/>
    <w:tmpl w:val="ED5808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D1225C"/>
    <w:multiLevelType w:val="multilevel"/>
    <w:tmpl w:val="9BD4B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2B0F07"/>
    <w:multiLevelType w:val="hybridMultilevel"/>
    <w:tmpl w:val="2FDA1CC4"/>
    <w:lvl w:ilvl="0" w:tplc="68B0C132">
      <w:start w:val="1"/>
      <w:numFmt w:val="upperLetter"/>
      <w:lvlText w:val="%1)"/>
      <w:lvlJc w:val="left"/>
      <w:pPr>
        <w:ind w:left="720" w:hanging="360"/>
      </w:pPr>
      <w:rPr>
        <w:rFonts w:eastAsiaTheme="minorHAns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6B6"/>
    <w:rsid w:val="002761B0"/>
    <w:rsid w:val="004624A7"/>
    <w:rsid w:val="00527852"/>
    <w:rsid w:val="006D4DD1"/>
    <w:rsid w:val="00974CCE"/>
    <w:rsid w:val="00B01E93"/>
    <w:rsid w:val="00B136B6"/>
    <w:rsid w:val="00B75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07400"/>
  <w15:chartTrackingRefBased/>
  <w15:docId w15:val="{070AD296-8A95-4F49-949E-4D24F2627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6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B136B6"/>
    <w:rPr>
      <w:i/>
      <w:iCs/>
      <w:color w:val="404040" w:themeColor="text1" w:themeTint="BF"/>
    </w:rPr>
  </w:style>
  <w:style w:type="paragraph" w:styleId="Header">
    <w:name w:val="header"/>
    <w:basedOn w:val="Normal"/>
    <w:link w:val="HeaderChar"/>
    <w:uiPriority w:val="99"/>
    <w:unhideWhenUsed/>
    <w:rsid w:val="00B1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6B6"/>
  </w:style>
  <w:style w:type="paragraph" w:styleId="Footer">
    <w:name w:val="footer"/>
    <w:basedOn w:val="Normal"/>
    <w:link w:val="FooterChar"/>
    <w:uiPriority w:val="99"/>
    <w:unhideWhenUsed/>
    <w:rsid w:val="00B1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6B6"/>
  </w:style>
  <w:style w:type="paragraph" w:styleId="ListParagraph">
    <w:name w:val="List Paragraph"/>
    <w:basedOn w:val="Normal"/>
    <w:uiPriority w:val="34"/>
    <w:qFormat/>
    <w:rsid w:val="004624A7"/>
    <w:pPr>
      <w:ind w:left="720"/>
      <w:contextualSpacing/>
    </w:pPr>
  </w:style>
  <w:style w:type="paragraph" w:styleId="NormalWeb">
    <w:name w:val="Normal (Web)"/>
    <w:basedOn w:val="Normal"/>
    <w:uiPriority w:val="99"/>
    <w:semiHidden/>
    <w:unhideWhenUsed/>
    <w:rsid w:val="0052785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27852"/>
    <w:rPr>
      <w:b/>
      <w:bCs/>
    </w:rPr>
  </w:style>
  <w:style w:type="character" w:styleId="Emphasis">
    <w:name w:val="Emphasis"/>
    <w:basedOn w:val="DefaultParagraphFont"/>
    <w:uiPriority w:val="20"/>
    <w:qFormat/>
    <w:rsid w:val="00974CCE"/>
    <w:rPr>
      <w:i/>
      <w:iCs/>
    </w:rPr>
  </w:style>
  <w:style w:type="character" w:styleId="Hyperlink">
    <w:name w:val="Hyperlink"/>
    <w:basedOn w:val="DefaultParagraphFont"/>
    <w:uiPriority w:val="99"/>
    <w:unhideWhenUsed/>
    <w:rsid w:val="00974C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ediatrics.aappublications.org/content/107/2/423.fu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Brian</cp:lastModifiedBy>
  <cp:revision>2</cp:revision>
  <dcterms:created xsi:type="dcterms:W3CDTF">2021-10-27T03:01:00Z</dcterms:created>
  <dcterms:modified xsi:type="dcterms:W3CDTF">2021-10-27T03:01:00Z</dcterms:modified>
</cp:coreProperties>
</file>